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356" w:rsidRDefault="00C94CFB">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Toc523225498"/>
      <w:bookmarkStart w:id="4" w:name="_Ref522323480"/>
      <w:r>
        <w:rPr>
          <w:rFonts w:asciiTheme="minorHAnsi" w:hAnsiTheme="minorHAnsi" w:cs="Arial"/>
          <w:b/>
          <w:smallCaps/>
          <w:sz w:val="28"/>
        </w:rPr>
        <w:t xml:space="preserve"> </w:t>
      </w:r>
    </w:p>
    <w:p w:rsidR="00761356" w:rsidRDefault="00761356">
      <w:pPr>
        <w:pStyle w:val="Zkladnodstavec"/>
        <w:jc w:val="both"/>
        <w:rPr>
          <w:rFonts w:asciiTheme="majorHAnsi" w:hAnsiTheme="majorHAnsi" w:cs="MyriadPro-Black"/>
          <w:caps/>
          <w:sz w:val="40"/>
          <w:szCs w:val="60"/>
        </w:rPr>
      </w:pPr>
    </w:p>
    <w:p w:rsidR="00761356" w:rsidRDefault="00C94CFB">
      <w:pPr>
        <w:pStyle w:val="Zkladnodstavec"/>
        <w:jc w:val="both"/>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761356" w:rsidRDefault="00761356">
      <w:pPr>
        <w:spacing w:after="200" w:line="276" w:lineRule="auto"/>
        <w:rPr>
          <w:rFonts w:ascii="Arial" w:hAnsi="Arial" w:cs="Arial"/>
          <w:b/>
          <w:sz w:val="40"/>
          <w:szCs w:val="40"/>
        </w:rPr>
      </w:pPr>
    </w:p>
    <w:p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761356" w:rsidRDefault="00761356">
      <w:pPr>
        <w:pStyle w:val="Zkladnodstavec"/>
        <w:rPr>
          <w:rFonts w:asciiTheme="majorHAnsi" w:hAnsiTheme="majorHAnsi" w:cs="MyriadPro-Black"/>
          <w:caps/>
          <w:sz w:val="60"/>
          <w:szCs w:val="60"/>
        </w:rPr>
      </w:pPr>
    </w:p>
    <w:p w:rsidR="00761356" w:rsidRDefault="00761356">
      <w:pPr>
        <w:spacing w:after="200" w:line="276" w:lineRule="auto"/>
        <w:rPr>
          <w:rFonts w:asciiTheme="majorHAnsi" w:hAnsiTheme="majorHAnsi" w:cs="MyriadPro-Black"/>
          <w:caps/>
          <w:color w:val="A6A6A6"/>
          <w:sz w:val="40"/>
          <w:szCs w:val="40"/>
        </w:rPr>
      </w:pPr>
    </w:p>
    <w:p w:rsidR="00761356" w:rsidRDefault="00C94CFB">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6.1</w:t>
      </w:r>
    </w:p>
    <w:p w:rsidR="00761356" w:rsidRDefault="00C94CFB">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9</w:t>
      </w:r>
      <w:r>
        <w:rPr>
          <w:rFonts w:asciiTheme="majorHAnsi" w:hAnsiTheme="majorHAnsi" w:cs="MyriadPro-Black"/>
          <w:caps/>
          <w:color w:val="A6A6A6"/>
          <w:sz w:val="40"/>
          <w:szCs w:val="40"/>
        </w:rPr>
        <w:t>6</w:t>
      </w:r>
    </w:p>
    <w:p w:rsidR="00761356" w:rsidRDefault="00761356">
      <w:pPr>
        <w:pStyle w:val="Zkladnodstavec"/>
        <w:rPr>
          <w:rFonts w:asciiTheme="majorHAnsi" w:hAnsiTheme="majorHAnsi" w:cs="MyriadPro-Black"/>
          <w:caps/>
          <w:sz w:val="40"/>
          <w:szCs w:val="40"/>
        </w:rPr>
      </w:pPr>
    </w:p>
    <w:p w:rsidR="00761356" w:rsidRDefault="00C94CFB">
      <w:pPr>
        <w:pStyle w:val="Zkladnodstavec"/>
        <w:rPr>
          <w:rFonts w:asciiTheme="majorHAnsi" w:hAnsiTheme="majorHAnsi" w:cs="MyriadPro-Black"/>
          <w:caps/>
          <w:sz w:val="40"/>
          <w:szCs w:val="40"/>
        </w:rPr>
      </w:pPr>
      <w:r>
        <w:rPr>
          <w:rFonts w:asciiTheme="majorHAnsi" w:hAnsiTheme="majorHAnsi" w:cs="MyriadPro-Black"/>
          <w:caps/>
          <w:sz w:val="40"/>
          <w:szCs w:val="40"/>
        </w:rPr>
        <w:t>PŘÍLOHA Č. 6</w:t>
      </w:r>
    </w:p>
    <w:p w:rsidR="00761356" w:rsidRDefault="00761356">
      <w:pPr>
        <w:pStyle w:val="Zkladnodstavec"/>
        <w:rPr>
          <w:rFonts w:asciiTheme="majorHAnsi" w:hAnsiTheme="majorHAnsi" w:cs="MyriadPro-Black"/>
          <w:b/>
          <w:caps/>
          <w:sz w:val="46"/>
          <w:szCs w:val="40"/>
        </w:rPr>
      </w:pPr>
    </w:p>
    <w:p w:rsidR="00761356" w:rsidRDefault="00C94CFB">
      <w:pPr>
        <w:pStyle w:val="Zkladnodstavec"/>
        <w:rPr>
          <w:rFonts w:asciiTheme="majorHAnsi" w:hAnsiTheme="majorHAnsi" w:cs="MyriadPro-Black"/>
          <w:b/>
          <w:caps/>
          <w:sz w:val="46"/>
          <w:szCs w:val="40"/>
        </w:rPr>
      </w:pPr>
      <w:r>
        <w:rPr>
          <w:rFonts w:asciiTheme="majorHAnsi" w:hAnsiTheme="majorHAnsi" w:cs="MyriadPro-Black"/>
          <w:b/>
          <w:caps/>
          <w:sz w:val="46"/>
          <w:szCs w:val="40"/>
        </w:rPr>
        <w:t>Podmínky stanovení výdajů na financování akce organizační složky státu</w:t>
      </w:r>
    </w:p>
    <w:p w:rsidR="00761356" w:rsidRDefault="00761356">
      <w:pPr>
        <w:spacing w:after="200" w:line="276" w:lineRule="auto"/>
        <w:rPr>
          <w:rFonts w:ascii="Arial" w:hAnsi="Arial" w:cs="Arial"/>
          <w:b/>
          <w:sz w:val="40"/>
          <w:szCs w:val="40"/>
        </w:rPr>
      </w:pPr>
    </w:p>
    <w:p w:rsidR="00761356" w:rsidRDefault="00761356">
      <w:pPr>
        <w:spacing w:after="200" w:line="276" w:lineRule="auto"/>
        <w:rPr>
          <w:rFonts w:ascii="Arial" w:hAnsi="Arial" w:cs="Arial"/>
          <w:b/>
          <w:sz w:val="40"/>
          <w:szCs w:val="40"/>
        </w:rPr>
      </w:pPr>
    </w:p>
    <w:p w:rsidR="00761356" w:rsidRDefault="00761356">
      <w:pPr>
        <w:pStyle w:val="Zkladnodstavec"/>
        <w:rPr>
          <w:rFonts w:asciiTheme="majorHAnsi" w:hAnsiTheme="majorHAnsi" w:cs="MyriadPro-Black"/>
          <w:caps/>
          <w:sz w:val="32"/>
          <w:szCs w:val="40"/>
        </w:rPr>
      </w:pPr>
    </w:p>
    <w:p w:rsidR="00761356" w:rsidRDefault="00C94CFB">
      <w:pPr>
        <w:pStyle w:val="Zkladnodstavec"/>
        <w:rPr>
          <w:rFonts w:asciiTheme="majorHAnsi" w:hAnsiTheme="majorHAnsi" w:cs="MyriadPro-Black"/>
          <w:caps/>
          <w:sz w:val="32"/>
          <w:szCs w:val="40"/>
        </w:rPr>
      </w:pPr>
      <w:r>
        <w:rPr>
          <w:rFonts w:asciiTheme="majorHAnsi" w:hAnsiTheme="majorHAnsi" w:cs="MyriadPro-Black"/>
          <w:caps/>
          <w:sz w:val="32"/>
          <w:szCs w:val="40"/>
        </w:rPr>
        <w:t>pLATNOST OD 21. 4. 2021</w:t>
      </w:r>
      <w:bookmarkStart w:id="5" w:name="_GoBack"/>
      <w:bookmarkEnd w:id="5"/>
    </w:p>
    <w:bookmarkEnd w:id="0"/>
    <w:bookmarkEnd w:id="1"/>
    <w:bookmarkEnd w:id="2"/>
    <w:bookmarkEnd w:id="3"/>
    <w:bookmarkEnd w:id="4"/>
    <w:p w:rsidR="00761356" w:rsidRDefault="00761356">
      <w:pPr>
        <w:widowControl w:val="0"/>
        <w:tabs>
          <w:tab w:val="left" w:pos="708"/>
        </w:tabs>
        <w:spacing w:after="120"/>
        <w:jc w:val="center"/>
        <w:rPr>
          <w:rFonts w:asciiTheme="minorHAnsi" w:hAnsiTheme="minorHAnsi"/>
          <w:b/>
          <w:snapToGrid w:val="0"/>
          <w:sz w:val="32"/>
        </w:rPr>
      </w:pPr>
    </w:p>
    <w:p w:rsidR="00761356" w:rsidRDefault="00C94CFB">
      <w:pPr>
        <w:widowControl w:val="0"/>
        <w:tabs>
          <w:tab w:val="left" w:pos="708"/>
        </w:tabs>
        <w:spacing w:after="120"/>
        <w:jc w:val="center"/>
        <w:rPr>
          <w:rFonts w:asciiTheme="minorHAnsi" w:hAnsiTheme="minorHAnsi"/>
          <w:b/>
          <w:snapToGrid w:val="0"/>
          <w:sz w:val="32"/>
        </w:rPr>
      </w:pPr>
      <w:r>
        <w:rPr>
          <w:rFonts w:asciiTheme="minorHAnsi" w:hAnsiTheme="minorHAnsi"/>
          <w:b/>
          <w:snapToGrid w:val="0"/>
          <w:sz w:val="32"/>
        </w:rPr>
        <w:t xml:space="preserve">Podmínky Stanovení </w:t>
      </w:r>
      <w:r>
        <w:rPr>
          <w:rFonts w:asciiTheme="minorHAnsi" w:hAnsiTheme="minorHAnsi"/>
          <w:b/>
          <w:snapToGrid w:val="0"/>
          <w:sz w:val="32"/>
        </w:rPr>
        <w:t>výdajů na financování akce organizační složky státu</w:t>
      </w:r>
    </w:p>
    <w:p w:rsidR="00761356" w:rsidRDefault="00C94CFB">
      <w:pPr>
        <w:widowControl w:val="0"/>
        <w:tabs>
          <w:tab w:val="left" w:pos="708"/>
        </w:tabs>
        <w:spacing w:after="120"/>
        <w:jc w:val="center"/>
        <w:rPr>
          <w:rFonts w:asciiTheme="minorHAnsi" w:hAnsiTheme="minorHAnsi"/>
          <w:snapToGrid w:val="0"/>
        </w:rPr>
      </w:pPr>
      <w:r>
        <w:rPr>
          <w:rFonts w:asciiTheme="minorHAnsi" w:hAnsiTheme="minorHAnsi"/>
          <w:snapToGrid w:val="0"/>
        </w:rPr>
        <w:t>(dále jen „Podmínky“)</w:t>
      </w:r>
    </w:p>
    <w:p w:rsidR="00761356" w:rsidRDefault="00761356">
      <w:pPr>
        <w:widowControl w:val="0"/>
        <w:tabs>
          <w:tab w:val="left" w:pos="708"/>
        </w:tabs>
        <w:spacing w:after="120"/>
        <w:jc w:val="center"/>
        <w:rPr>
          <w:rFonts w:asciiTheme="minorHAnsi" w:hAnsiTheme="minorHAnsi"/>
          <w:snapToGrid w:val="0"/>
        </w:rPr>
      </w:pPr>
    </w:p>
    <w:p w:rsidR="00761356" w:rsidRDefault="00761356">
      <w:pPr>
        <w:widowControl w:val="0"/>
        <w:tabs>
          <w:tab w:val="left" w:pos="708"/>
        </w:tabs>
        <w:spacing w:after="120"/>
        <w:jc w:val="center"/>
        <w:rPr>
          <w:rFonts w:asciiTheme="minorHAnsi" w:hAnsiTheme="minorHAnsi"/>
          <w:snapToGrid w:val="0"/>
        </w:rPr>
      </w:pPr>
    </w:p>
    <w:p w:rsidR="00761356" w:rsidRDefault="00C94CFB">
      <w:pPr>
        <w:widowControl w:val="0"/>
        <w:tabs>
          <w:tab w:val="left" w:pos="708"/>
          <w:tab w:val="left" w:pos="2895"/>
        </w:tabs>
        <w:spacing w:after="120"/>
        <w:rPr>
          <w:rFonts w:asciiTheme="minorHAnsi" w:hAnsiTheme="minorHAnsi"/>
          <w:b/>
          <w:snapToGrid w:val="0"/>
        </w:rPr>
      </w:pPr>
      <w:r>
        <w:rPr>
          <w:rFonts w:asciiTheme="minorHAnsi" w:hAnsiTheme="minorHAnsi"/>
          <w:b/>
          <w:snapToGrid w:val="0"/>
        </w:rPr>
        <w:t>Příjemce:</w:t>
      </w:r>
      <w:r>
        <w:rPr>
          <w:rFonts w:asciiTheme="minorHAnsi" w:hAnsiTheme="minorHAnsi"/>
          <w:b/>
          <w:snapToGrid w:val="0"/>
        </w:rPr>
        <w:tab/>
      </w:r>
    </w:p>
    <w:p w:rsidR="00761356" w:rsidRDefault="00C94CFB">
      <w:pPr>
        <w:widowControl w:val="0"/>
        <w:tabs>
          <w:tab w:val="left" w:pos="2925"/>
        </w:tabs>
        <w:spacing w:after="120"/>
        <w:rPr>
          <w:rFonts w:asciiTheme="minorHAnsi" w:hAnsiTheme="minorHAnsi"/>
          <w:b/>
          <w:snapToGrid w:val="0"/>
        </w:rPr>
      </w:pPr>
      <w:r>
        <w:rPr>
          <w:rFonts w:asciiTheme="minorHAnsi" w:hAnsiTheme="minorHAnsi"/>
          <w:b/>
          <w:snapToGrid w:val="0"/>
        </w:rPr>
        <w:t>IČ:</w:t>
      </w:r>
      <w:r>
        <w:rPr>
          <w:rFonts w:asciiTheme="minorHAnsi" w:hAnsiTheme="minorHAnsi"/>
          <w:b/>
          <w:snapToGrid w:val="0"/>
        </w:rPr>
        <w:tab/>
      </w:r>
    </w:p>
    <w:p w:rsidR="00761356" w:rsidRDefault="00C94CFB">
      <w:pPr>
        <w:widowControl w:val="0"/>
        <w:tabs>
          <w:tab w:val="left" w:pos="708"/>
        </w:tabs>
        <w:spacing w:after="120"/>
        <w:rPr>
          <w:rFonts w:asciiTheme="minorHAnsi" w:hAnsiTheme="minorHAnsi"/>
          <w:snapToGrid w:val="0"/>
        </w:rPr>
      </w:pPr>
      <w:r>
        <w:rPr>
          <w:rFonts w:asciiTheme="minorHAnsi" w:hAnsiTheme="minorHAnsi"/>
          <w:b/>
          <w:snapToGrid w:val="0"/>
        </w:rPr>
        <w:t xml:space="preserve">DIČ: </w:t>
      </w:r>
      <w:r>
        <w:rPr>
          <w:rFonts w:asciiTheme="minorHAnsi" w:hAnsiTheme="minorHAnsi"/>
          <w:snapToGrid w:val="0"/>
        </w:rPr>
        <w:tab/>
      </w:r>
    </w:p>
    <w:p w:rsidR="00761356" w:rsidRDefault="00C94CFB">
      <w:pPr>
        <w:widowControl w:val="0"/>
        <w:tabs>
          <w:tab w:val="left" w:pos="708"/>
        </w:tabs>
        <w:spacing w:after="120"/>
        <w:rPr>
          <w:rFonts w:asciiTheme="minorHAnsi" w:hAnsiTheme="minorHAnsi"/>
          <w:b/>
          <w:snapToGrid w:val="0"/>
        </w:rPr>
      </w:pPr>
      <w:r>
        <w:rPr>
          <w:rFonts w:asciiTheme="minorHAnsi" w:hAnsiTheme="minorHAnsi"/>
          <w:b/>
          <w:snapToGrid w:val="0"/>
        </w:rPr>
        <w:t>Sídlem:</w:t>
      </w:r>
    </w:p>
    <w:p w:rsidR="00761356" w:rsidRDefault="00761356">
      <w:pPr>
        <w:widowControl w:val="0"/>
        <w:tabs>
          <w:tab w:val="left" w:pos="708"/>
        </w:tabs>
        <w:spacing w:after="120"/>
        <w:rPr>
          <w:rFonts w:asciiTheme="minorHAnsi" w:hAnsiTheme="minorHAnsi"/>
          <w:snapToGrid w:val="0"/>
        </w:rPr>
      </w:pPr>
    </w:p>
    <w:p w:rsidR="00761356" w:rsidRDefault="00761356">
      <w:pPr>
        <w:widowControl w:val="0"/>
        <w:tabs>
          <w:tab w:val="left" w:pos="708"/>
        </w:tabs>
        <w:spacing w:after="120"/>
        <w:rPr>
          <w:rFonts w:asciiTheme="minorHAnsi" w:hAnsiTheme="minorHAnsi"/>
          <w:snapToGrid w:val="0"/>
        </w:rPr>
      </w:pPr>
    </w:p>
    <w:p w:rsidR="00761356" w:rsidRDefault="00C94CFB">
      <w:pPr>
        <w:pStyle w:val="Nadpis3"/>
        <w:spacing w:after="120"/>
        <w:rPr>
          <w:rFonts w:asciiTheme="minorHAnsi" w:hAnsiTheme="minorHAnsi"/>
          <w:i/>
        </w:rPr>
      </w:pPr>
      <w:r>
        <w:rPr>
          <w:rFonts w:asciiTheme="minorHAnsi" w:hAnsiTheme="minorHAnsi"/>
          <w:i/>
        </w:rPr>
        <w:t>Část I</w:t>
      </w:r>
    </w:p>
    <w:p w:rsidR="00761356" w:rsidRDefault="00C94CFB">
      <w:pPr>
        <w:pStyle w:val="Nadpis3"/>
        <w:spacing w:after="120"/>
        <w:rPr>
          <w:rFonts w:asciiTheme="minorHAnsi" w:hAnsiTheme="minorHAnsi"/>
          <w:i/>
        </w:rPr>
      </w:pPr>
      <w:r>
        <w:rPr>
          <w:rFonts w:asciiTheme="minorHAnsi" w:hAnsiTheme="minorHAnsi"/>
          <w:i/>
        </w:rPr>
        <w:t>Obecná ustanovení</w:t>
      </w:r>
    </w:p>
    <w:p w:rsidR="00761356" w:rsidRDefault="00C94CFB">
      <w:pPr>
        <w:pStyle w:val="Zkladntext3"/>
        <w:widowControl w:val="0"/>
        <w:numPr>
          <w:ilvl w:val="0"/>
          <w:numId w:val="3"/>
        </w:numPr>
        <w:tabs>
          <w:tab w:val="clear" w:pos="786"/>
          <w:tab w:val="left" w:pos="360"/>
        </w:tabs>
        <w:ind w:left="360"/>
        <w:jc w:val="both"/>
        <w:rPr>
          <w:rFonts w:asciiTheme="minorHAnsi" w:hAnsiTheme="minorHAnsi"/>
          <w:bCs/>
          <w:sz w:val="24"/>
          <w:szCs w:val="24"/>
        </w:rPr>
      </w:pPr>
      <w:r>
        <w:rPr>
          <w:rFonts w:asciiTheme="minorHAnsi" w:hAnsiTheme="minorHAnsi"/>
          <w:bCs/>
          <w:sz w:val="24"/>
          <w:szCs w:val="24"/>
        </w:rPr>
        <w:t xml:space="preserve">Stanovují se následující Podmínky, které jsou nedílnou součástí Stanovení výdajů na financování akce organizační složky státu č.j. ……………..ze dne ………….. (dále jen „Stanovení“). </w:t>
      </w:r>
    </w:p>
    <w:p w:rsidR="00761356" w:rsidRDefault="00C94CFB">
      <w:pPr>
        <w:pStyle w:val="Zkladntext3"/>
        <w:widowControl w:val="0"/>
        <w:numPr>
          <w:ilvl w:val="0"/>
          <w:numId w:val="3"/>
        </w:numPr>
        <w:tabs>
          <w:tab w:val="clear" w:pos="786"/>
          <w:tab w:val="left" w:pos="360"/>
        </w:tabs>
        <w:ind w:left="360"/>
        <w:jc w:val="both"/>
        <w:rPr>
          <w:rFonts w:asciiTheme="minorHAnsi" w:hAnsiTheme="minorHAnsi"/>
          <w:sz w:val="24"/>
          <w:szCs w:val="24"/>
        </w:rPr>
      </w:pPr>
      <w:r>
        <w:rPr>
          <w:rFonts w:asciiTheme="minorHAnsi" w:hAnsiTheme="minorHAnsi"/>
          <w:bCs/>
          <w:sz w:val="24"/>
          <w:szCs w:val="24"/>
        </w:rPr>
        <w:t>Peněžní prostředky jsou příjemci převedeny v souladu s Integrovaným regionálním</w:t>
      </w:r>
      <w:r>
        <w:rPr>
          <w:rFonts w:asciiTheme="minorHAnsi" w:hAnsiTheme="minorHAnsi"/>
          <w:bCs/>
          <w:sz w:val="24"/>
          <w:szCs w:val="24"/>
        </w:rPr>
        <w:t xml:space="preserve"> operačním programem pro období 2014–2020 (dále jen „IROP“) </w:t>
      </w:r>
      <w:r>
        <w:rPr>
          <w:rFonts w:asciiTheme="minorHAnsi" w:hAnsiTheme="minorHAnsi"/>
          <w:sz w:val="24"/>
          <w:szCs w:val="24"/>
        </w:rPr>
        <w:t xml:space="preserve">– Programovým dokumentem IROP. </w:t>
      </w:r>
    </w:p>
    <w:p w:rsidR="00761356" w:rsidRDefault="00761356">
      <w:pPr>
        <w:pStyle w:val="Zkladntext3"/>
        <w:widowControl w:val="0"/>
        <w:ind w:left="360"/>
        <w:jc w:val="both"/>
        <w:rPr>
          <w:rFonts w:asciiTheme="minorHAnsi" w:hAnsiTheme="minorHAnsi"/>
        </w:rPr>
      </w:pPr>
    </w:p>
    <w:p w:rsidR="00761356" w:rsidRDefault="00761356">
      <w:pPr>
        <w:pStyle w:val="Zkladntext3"/>
        <w:widowControl w:val="0"/>
        <w:ind w:left="360"/>
        <w:jc w:val="both"/>
        <w:rPr>
          <w:rFonts w:asciiTheme="minorHAnsi" w:hAnsiTheme="minorHAnsi"/>
        </w:rPr>
      </w:pPr>
    </w:p>
    <w:p w:rsidR="00761356" w:rsidRDefault="00761356">
      <w:pPr>
        <w:pStyle w:val="Zkladntext3"/>
        <w:widowControl w:val="0"/>
        <w:ind w:left="360"/>
        <w:jc w:val="both"/>
        <w:rPr>
          <w:rFonts w:asciiTheme="minorHAnsi" w:hAnsiTheme="minorHAnsi"/>
        </w:rPr>
      </w:pPr>
    </w:p>
    <w:p w:rsidR="00761356" w:rsidRDefault="00C94CFB">
      <w:pPr>
        <w:pStyle w:val="Nadpis3"/>
        <w:spacing w:after="120"/>
        <w:rPr>
          <w:rFonts w:asciiTheme="minorHAnsi" w:hAnsiTheme="minorHAnsi"/>
          <w:i/>
        </w:rPr>
      </w:pPr>
      <w:r>
        <w:rPr>
          <w:rFonts w:asciiTheme="minorHAnsi" w:hAnsiTheme="minorHAnsi"/>
          <w:i/>
        </w:rPr>
        <w:t>Část II</w:t>
      </w:r>
    </w:p>
    <w:p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Finanční rámec</w:t>
      </w:r>
    </w:p>
    <w:p w:rsidR="00761356" w:rsidRDefault="00C94CFB">
      <w:pPr>
        <w:pStyle w:val="Odstavecseseznamem"/>
        <w:widowControl w:val="0"/>
        <w:numPr>
          <w:ilvl w:val="0"/>
          <w:numId w:val="4"/>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761356">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761356">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761356">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761356">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bl>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spacing w:after="120"/>
        <w:ind w:right="180"/>
        <w:rPr>
          <w:rFonts w:asciiTheme="minorHAnsi" w:hAnsiTheme="minorHAnsi"/>
          <w:snapToGrid w:val="0"/>
        </w:rPr>
      </w:pPr>
    </w:p>
    <w:p w:rsidR="00761356" w:rsidRDefault="00C94CFB">
      <w:pPr>
        <w:widowControl w:val="0"/>
        <w:spacing w:after="120"/>
        <w:ind w:right="180"/>
        <w:rPr>
          <w:rFonts w:asciiTheme="minorHAnsi" w:hAnsiTheme="minorHAnsi"/>
        </w:rPr>
      </w:pPr>
      <w:r>
        <w:rPr>
          <w:rFonts w:asciiTheme="minorHAnsi" w:hAnsiTheme="minorHAnsi"/>
          <w:snapToGrid w:val="0"/>
        </w:rPr>
        <w:lastRenderedPageBreak/>
        <w:t xml:space="preserve">2. </w:t>
      </w:r>
      <w:r>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761356">
        <w:trPr>
          <w:jc w:val="center"/>
        </w:trPr>
        <w:tc>
          <w:tcPr>
            <w:tcW w:w="5377"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Druh peněžních prostředků/zdroje spolufinancování</w:t>
            </w:r>
          </w:p>
        </w:tc>
        <w:tc>
          <w:tcPr>
            <w:tcW w:w="2183"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761356">
        <w:trPr>
          <w:jc w:val="center"/>
        </w:trPr>
        <w:tc>
          <w:tcPr>
            <w:tcW w:w="5377" w:type="dxa"/>
          </w:tcPr>
          <w:p w:rsidR="00761356" w:rsidRDefault="00C94CFB">
            <w:pPr>
              <w:widowControl w:val="0"/>
              <w:rPr>
                <w:rFonts w:asciiTheme="minorHAnsi" w:hAnsiTheme="minorHAnsi"/>
                <w:snapToGrid w:val="0"/>
                <w:sz w:val="22"/>
              </w:rPr>
            </w:pPr>
            <w:r>
              <w:rPr>
                <w:rFonts w:asciiTheme="minorHAnsi" w:hAnsiTheme="minorHAnsi"/>
                <w:b/>
                <w:snapToGrid w:val="0"/>
                <w:sz w:val="22"/>
              </w:rPr>
              <w:t>Peněžní prostředky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1"/>
            </w:r>
          </w:p>
        </w:tc>
        <w:tc>
          <w:tcPr>
            <w:tcW w:w="2183" w:type="dxa"/>
          </w:tcPr>
          <w:p w:rsidR="00761356" w:rsidRDefault="00761356">
            <w:pPr>
              <w:widowControl w:val="0"/>
              <w:rPr>
                <w:rFonts w:asciiTheme="minorHAnsi" w:hAnsiTheme="minorHAnsi"/>
                <w:snapToGrid w:val="0"/>
                <w:sz w:val="22"/>
              </w:rPr>
            </w:pPr>
          </w:p>
        </w:tc>
        <w:tc>
          <w:tcPr>
            <w:tcW w:w="2340" w:type="dxa"/>
          </w:tcPr>
          <w:p w:rsidR="00761356" w:rsidRDefault="00761356">
            <w:pPr>
              <w:widowControl w:val="0"/>
              <w:rPr>
                <w:rFonts w:asciiTheme="minorHAnsi" w:hAnsiTheme="minorHAnsi"/>
                <w:snapToGrid w:val="0"/>
                <w:sz w:val="22"/>
              </w:rPr>
            </w:pPr>
          </w:p>
        </w:tc>
      </w:tr>
      <w:tr w:rsidR="00761356">
        <w:trPr>
          <w:jc w:val="center"/>
        </w:trPr>
        <w:tc>
          <w:tcPr>
            <w:tcW w:w="5377" w:type="dxa"/>
          </w:tcPr>
          <w:p w:rsidR="00761356" w:rsidRDefault="00C94CFB">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Pr>
          <w:p w:rsidR="00761356" w:rsidRDefault="00761356">
            <w:pPr>
              <w:widowControl w:val="0"/>
              <w:rPr>
                <w:rFonts w:asciiTheme="minorHAnsi" w:hAnsiTheme="minorHAnsi"/>
                <w:snapToGrid w:val="0"/>
                <w:sz w:val="22"/>
              </w:rPr>
            </w:pPr>
          </w:p>
        </w:tc>
        <w:tc>
          <w:tcPr>
            <w:tcW w:w="2340" w:type="dxa"/>
          </w:tcPr>
          <w:p w:rsidR="00761356" w:rsidRDefault="00761356">
            <w:pPr>
              <w:widowControl w:val="0"/>
              <w:rPr>
                <w:rFonts w:asciiTheme="minorHAnsi" w:hAnsiTheme="minorHAnsi"/>
                <w:snapToGrid w:val="0"/>
                <w:sz w:val="22"/>
              </w:rPr>
            </w:pPr>
          </w:p>
        </w:tc>
      </w:tr>
      <w:tr w:rsidR="00761356">
        <w:trPr>
          <w:jc w:val="center"/>
        </w:trPr>
        <w:tc>
          <w:tcPr>
            <w:tcW w:w="5377" w:type="dxa"/>
          </w:tcPr>
          <w:p w:rsidR="00761356" w:rsidRDefault="00C94CFB">
            <w:pPr>
              <w:widowControl w:val="0"/>
              <w:rPr>
                <w:rFonts w:asciiTheme="minorHAnsi" w:hAnsiTheme="minorHAnsi"/>
                <w:i/>
                <w:snapToGrid w:val="0"/>
                <w:sz w:val="22"/>
              </w:rPr>
            </w:pPr>
            <w:r>
              <w:rPr>
                <w:rFonts w:asciiTheme="minorHAnsi" w:hAnsiTheme="minorHAnsi"/>
                <w:i/>
                <w:snapToGrid w:val="0"/>
                <w:sz w:val="22"/>
              </w:rPr>
              <w:t xml:space="preserve">Z toho: peněžní prostředky </w:t>
            </w:r>
            <w:r>
              <w:rPr>
                <w:rFonts w:asciiTheme="minorHAnsi" w:hAnsiTheme="minorHAnsi"/>
                <w:i/>
                <w:snapToGrid w:val="0"/>
                <w:sz w:val="22"/>
              </w:rPr>
              <w:t>ze státního rozpočtu</w:t>
            </w:r>
            <w:r>
              <w:rPr>
                <w:rStyle w:val="Znakapoznpodarou"/>
                <w:rFonts w:asciiTheme="minorHAnsi" w:hAnsiTheme="minorHAnsi"/>
                <w:i/>
                <w:snapToGrid w:val="0"/>
                <w:sz w:val="22"/>
              </w:rPr>
              <w:footnoteReference w:id="2"/>
            </w:r>
          </w:p>
        </w:tc>
        <w:tc>
          <w:tcPr>
            <w:tcW w:w="2183" w:type="dxa"/>
          </w:tcPr>
          <w:p w:rsidR="00761356" w:rsidRDefault="00761356">
            <w:pPr>
              <w:widowControl w:val="0"/>
              <w:rPr>
                <w:rFonts w:asciiTheme="minorHAnsi" w:hAnsiTheme="minorHAnsi"/>
                <w:snapToGrid w:val="0"/>
                <w:sz w:val="22"/>
              </w:rPr>
            </w:pPr>
          </w:p>
        </w:tc>
        <w:tc>
          <w:tcPr>
            <w:tcW w:w="2340" w:type="dxa"/>
          </w:tcPr>
          <w:p w:rsidR="00761356" w:rsidRDefault="00761356">
            <w:pPr>
              <w:widowControl w:val="0"/>
              <w:rPr>
                <w:rFonts w:asciiTheme="minorHAnsi" w:hAnsiTheme="minorHAnsi"/>
                <w:snapToGrid w:val="0"/>
                <w:sz w:val="22"/>
              </w:rPr>
            </w:pPr>
          </w:p>
        </w:tc>
      </w:tr>
      <w:tr w:rsidR="00761356">
        <w:trPr>
          <w:jc w:val="center"/>
        </w:trPr>
        <w:tc>
          <w:tcPr>
            <w:tcW w:w="5377" w:type="dxa"/>
          </w:tcPr>
          <w:p w:rsidR="00761356" w:rsidRDefault="00C94CFB">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Pr>
          <w:p w:rsidR="00761356" w:rsidRDefault="00761356">
            <w:pPr>
              <w:widowControl w:val="0"/>
              <w:rPr>
                <w:rFonts w:asciiTheme="minorHAnsi" w:hAnsiTheme="minorHAnsi"/>
                <w:b/>
                <w:snapToGrid w:val="0"/>
                <w:sz w:val="22"/>
              </w:rPr>
            </w:pPr>
          </w:p>
        </w:tc>
        <w:tc>
          <w:tcPr>
            <w:tcW w:w="2340" w:type="dxa"/>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100</w:t>
            </w:r>
          </w:p>
        </w:tc>
      </w:tr>
      <w:tr w:rsidR="00761356">
        <w:trPr>
          <w:jc w:val="center"/>
        </w:trPr>
        <w:tc>
          <w:tcPr>
            <w:tcW w:w="5377" w:type="dxa"/>
            <w:tcBorders>
              <w:top w:val="single" w:sz="4" w:space="0" w:color="auto"/>
              <w:left w:val="single" w:sz="4" w:space="0" w:color="auto"/>
              <w:bottom w:val="single" w:sz="4" w:space="0" w:color="auto"/>
              <w:right w:val="single" w:sz="4" w:space="0" w:color="auto"/>
            </w:tcBorders>
          </w:tcPr>
          <w:p w:rsidR="00761356" w:rsidRDefault="00C94CF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r w:rsidR="00761356">
        <w:trPr>
          <w:jc w:val="center"/>
        </w:trPr>
        <w:tc>
          <w:tcPr>
            <w:tcW w:w="5377" w:type="dxa"/>
            <w:tcBorders>
              <w:top w:val="single" w:sz="4" w:space="0" w:color="auto"/>
              <w:left w:val="single" w:sz="4" w:space="0" w:color="auto"/>
              <w:bottom w:val="single" w:sz="4" w:space="0" w:color="auto"/>
              <w:right w:val="single" w:sz="4" w:space="0" w:color="auto"/>
            </w:tcBorders>
          </w:tcPr>
          <w:p w:rsidR="00761356" w:rsidRDefault="00C94CFB">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bl>
    <w:p w:rsidR="00761356" w:rsidRDefault="00761356">
      <w:pPr>
        <w:widowControl w:val="0"/>
        <w:tabs>
          <w:tab w:val="left" w:pos="426"/>
        </w:tabs>
        <w:spacing w:after="120"/>
        <w:ind w:right="180"/>
        <w:rPr>
          <w:rFonts w:asciiTheme="minorHAnsi" w:hAnsiTheme="minorHAnsi"/>
        </w:rPr>
      </w:pPr>
    </w:p>
    <w:p w:rsidR="00761356" w:rsidRDefault="00C94CFB">
      <w:pPr>
        <w:pStyle w:val="Zkladntext"/>
        <w:numPr>
          <w:ilvl w:val="0"/>
          <w:numId w:val="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peněžních prostředků uvedená ve Stanovení nebude překročena. Částka peněžních prostředků bude příjemci poskytnuta na základě </w:t>
      </w:r>
      <w:r>
        <w:rPr>
          <w:rFonts w:asciiTheme="minorHAnsi" w:hAnsiTheme="minorHAnsi"/>
          <w:b w:val="0"/>
          <w:i w:val="0"/>
          <w:iCs w:val="0"/>
        </w:rPr>
        <w:t>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w:t>
      </w:r>
      <w:r>
        <w:rPr>
          <w:rFonts w:asciiTheme="minorHAnsi" w:hAnsiTheme="minorHAnsi"/>
          <w:b w:val="0"/>
          <w:i w:val="0"/>
          <w:iCs w:val="0"/>
        </w:rPr>
        <w:t>ány procentní podíly jednotlivých druhů peněžních prostředků a zdrojů spolufinancování na celkových způsobilých výdajích.</w:t>
      </w:r>
    </w:p>
    <w:p w:rsidR="00761356" w:rsidRDefault="00C94CFB">
      <w:pPr>
        <w:pStyle w:val="Odstavecseseznamem"/>
        <w:widowControl w:val="0"/>
        <w:numPr>
          <w:ilvl w:val="0"/>
          <w:numId w:val="5"/>
        </w:numPr>
        <w:tabs>
          <w:tab w:val="left" w:pos="426"/>
        </w:tabs>
        <w:spacing w:after="120"/>
        <w:ind w:right="180"/>
        <w:jc w:val="both"/>
        <w:rPr>
          <w:rFonts w:asciiTheme="minorHAnsi" w:hAnsiTheme="minorHAnsi"/>
        </w:rPr>
      </w:pPr>
      <w:r>
        <w:rPr>
          <w:rFonts w:asciiTheme="minorHAnsi" w:hAnsiTheme="minorHAnsi"/>
        </w:rPr>
        <w:t xml:space="preserve">Projekty nesmí v době realizace projektu ani do ukončení doby udržitelnosti generovat příjmy podle čl. 61 Obecného nařízení. Projekty </w:t>
      </w:r>
      <w:r>
        <w:rPr>
          <w:rFonts w:asciiTheme="minorHAnsi" w:hAnsiTheme="minorHAnsi"/>
        </w:rPr>
        <w:t>mohou generovat příjmy mimo čl. 61 Obecného nařízení (tzv. jiné peněžní příjmy).</w:t>
      </w:r>
    </w:p>
    <w:p w:rsidR="00761356" w:rsidRDefault="00761356">
      <w:pPr>
        <w:pStyle w:val="Odstavecseseznamem"/>
        <w:widowControl w:val="0"/>
        <w:tabs>
          <w:tab w:val="left" w:pos="426"/>
        </w:tabs>
        <w:spacing w:after="120"/>
        <w:ind w:left="0" w:right="180"/>
        <w:jc w:val="both"/>
        <w:rPr>
          <w:rFonts w:asciiTheme="minorHAnsi" w:hAnsiTheme="minorHAnsi"/>
        </w:rPr>
      </w:pPr>
    </w:p>
    <w:p w:rsidR="00761356" w:rsidRDefault="00C94CFB">
      <w:pPr>
        <w:pStyle w:val="Nadpis3"/>
        <w:spacing w:after="120"/>
        <w:rPr>
          <w:rFonts w:asciiTheme="minorHAnsi" w:hAnsiTheme="minorHAnsi"/>
          <w:i/>
        </w:rPr>
      </w:pPr>
      <w:r>
        <w:rPr>
          <w:rFonts w:asciiTheme="minorHAnsi" w:hAnsiTheme="minorHAnsi"/>
          <w:i/>
        </w:rPr>
        <w:t>Část III</w:t>
      </w:r>
    </w:p>
    <w:p w:rsidR="00761356" w:rsidRDefault="00C94CFB">
      <w:pPr>
        <w:pStyle w:val="Nadpis3"/>
        <w:spacing w:after="120"/>
        <w:rPr>
          <w:rFonts w:asciiTheme="minorHAnsi" w:hAnsiTheme="minorHAnsi"/>
          <w:i/>
        </w:rPr>
      </w:pPr>
      <w:r>
        <w:rPr>
          <w:rFonts w:asciiTheme="minorHAnsi" w:hAnsiTheme="minorHAnsi"/>
          <w:i/>
        </w:rPr>
        <w:t>Podmínky, na které je poskytnutí peněžních prostředků vázáno</w:t>
      </w:r>
    </w:p>
    <w:p w:rsidR="00761356" w:rsidRDefault="00761356">
      <w:pPr>
        <w:pStyle w:val="Odstavecseseznamem"/>
        <w:ind w:left="720"/>
        <w:rPr>
          <w:sz w:val="12"/>
          <w:szCs w:val="12"/>
        </w:rPr>
      </w:pPr>
    </w:p>
    <w:tbl>
      <w:tblPr>
        <w:tblStyle w:val="Mkatabulky"/>
        <w:tblW w:w="9243" w:type="dxa"/>
        <w:tblLayout w:type="fixed"/>
        <w:tblLook w:val="04A0" w:firstRow="1" w:lastRow="0" w:firstColumn="1" w:lastColumn="0" w:noHBand="0" w:noVBand="1"/>
      </w:tblPr>
      <w:tblGrid>
        <w:gridCol w:w="1048"/>
        <w:gridCol w:w="8195"/>
      </w:tblGrid>
      <w:tr w:rsidR="00761356">
        <w:tc>
          <w:tcPr>
            <w:tcW w:w="1048" w:type="dxa"/>
          </w:tcPr>
          <w:p w:rsidR="00761356" w:rsidRDefault="00761356">
            <w:pPr>
              <w:spacing w:after="120"/>
              <w:rPr>
                <w:b/>
              </w:rPr>
            </w:pPr>
          </w:p>
        </w:tc>
        <w:tc>
          <w:tcPr>
            <w:tcW w:w="8195" w:type="dxa"/>
          </w:tcPr>
          <w:p w:rsidR="00761356" w:rsidRDefault="00C94CFB">
            <w:pPr>
              <w:spacing w:after="120"/>
              <w:rPr>
                <w:rFonts w:asciiTheme="minorHAnsi" w:hAnsiTheme="minorHAnsi"/>
                <w:b/>
                <w:sz w:val="22"/>
                <w:szCs w:val="22"/>
              </w:rPr>
            </w:pPr>
            <w:r>
              <w:rPr>
                <w:rFonts w:asciiTheme="minorHAnsi" w:hAnsiTheme="minorHAnsi"/>
                <w:b/>
                <w:sz w:val="22"/>
                <w:szCs w:val="22"/>
              </w:rPr>
              <w:t>Podmínka</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Tímto </w:t>
            </w:r>
            <w:r>
              <w:rPr>
                <w:rFonts w:asciiTheme="minorHAnsi" w:hAnsiTheme="minorHAnsi"/>
                <w:snapToGrid w:val="0"/>
                <w:sz w:val="22"/>
                <w:szCs w:val="22"/>
              </w:rPr>
              <w:t>účelem je realizace projektu rámcově identifikovaného v části II, v bodu 1.</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2.</w:t>
            </w:r>
          </w:p>
        </w:tc>
        <w:tc>
          <w:tcPr>
            <w:tcW w:w="8195" w:type="dxa"/>
          </w:tcPr>
          <w:p w:rsidR="00761356" w:rsidRDefault="00C94CFB">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 (do 30. 9. 2016; dále jen „</w:t>
            </w:r>
            <w:r>
              <w:rPr>
                <w:rFonts w:asciiTheme="minorHAnsi" w:hAnsiTheme="minorHAnsi" w:cstheme="minorHAnsi"/>
                <w:snapToGrid w:val="0"/>
                <w:sz w:val="22"/>
                <w:szCs w:val="22"/>
              </w:rPr>
              <w:t xml:space="preserve">ZVZ“), nebo zákonem č. 134/2016 Sb., o zadávání veřejných zakázek, ve znění pozdějších předpisů (od 1. 10. 2016; dále jen „ZZVZ“). </w:t>
            </w:r>
          </w:p>
          <w:p w:rsidR="00761356" w:rsidRDefault="00C94CFB">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w:t>
            </w:r>
            <w:r>
              <w:rPr>
                <w:rFonts w:asciiTheme="minorHAnsi" w:hAnsiTheme="minorHAnsi" w:cstheme="minorHAnsi"/>
                <w:snapToGrid w:val="0"/>
                <w:sz w:val="22"/>
                <w:szCs w:val="22"/>
              </w:rPr>
              <w:t>ázek pro programové období 2014-2020 (dále jen „MPZ“), který je přílohou č. 3 Obecných pravidel pro žadatele a příjemce.</w:t>
            </w:r>
          </w:p>
        </w:tc>
      </w:tr>
      <w:tr w:rsidR="00761356">
        <w:trPr>
          <w:trHeight w:val="1273"/>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 xml:space="preserve"> 3.</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 10 pracovních dní před </w:t>
            </w:r>
            <w:r>
              <w:rPr>
                <w:rFonts w:asciiTheme="minorHAnsi" w:hAnsiTheme="minorHAnsi"/>
                <w:snapToGrid w:val="0"/>
                <w:sz w:val="22"/>
                <w:szCs w:val="22"/>
              </w:rPr>
              <w:t>plánovaným zahájením zadávacího nebo výběrového řízení.</w:t>
            </w:r>
          </w:p>
        </w:tc>
      </w:tr>
      <w:tr w:rsidR="00761356">
        <w:trPr>
          <w:trHeight w:val="629"/>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lastRenderedPageBreak/>
              <w:t>4.</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w:t>
            </w:r>
            <w:r>
              <w:rPr>
                <w:rFonts w:asciiTheme="minorHAnsi" w:hAnsiTheme="minorHAnsi"/>
                <w:snapToGrid w:val="0"/>
                <w:sz w:val="22"/>
                <w:szCs w:val="22"/>
              </w:rPr>
              <w:t>i k průběhu zadávacího řízení nebo výběrového řízení zakázky vyšší hodnoty před uzavřením smlouvy.</w:t>
            </w:r>
          </w:p>
        </w:tc>
      </w:tr>
      <w:tr w:rsidR="00761356">
        <w:trPr>
          <w:trHeight w:val="841"/>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5.</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r>
      <w:tr w:rsidR="00761356">
        <w:trPr>
          <w:trHeight w:val="747"/>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w:t>
            </w:r>
            <w:r>
              <w:rPr>
                <w:rFonts w:asciiTheme="minorHAnsi" w:hAnsiTheme="minorHAnsi"/>
                <w:b/>
                <w:snapToGrid w:val="0"/>
                <w:sz w:val="22"/>
                <w:szCs w:val="22"/>
              </w:rPr>
              <w:t xml:space="preserve"> o realizaci projektu</w:t>
            </w:r>
            <w:r>
              <w:rPr>
                <w:rFonts w:asciiTheme="minorHAnsi" w:hAnsiTheme="minorHAnsi"/>
                <w:snapToGrid w:val="0"/>
                <w:sz w:val="22"/>
                <w:szCs w:val="22"/>
              </w:rPr>
              <w:t xml:space="preserve"> předkládá příjemce vždy do dvaceti pracovních dnů od ukončení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průběžnou zprávu o realizaci projektu společně se žádostí o platbu.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w:t>
            </w:r>
            <w:r>
              <w:rPr>
                <w:rFonts w:asciiTheme="minorHAnsi" w:hAnsiTheme="minorHAnsi"/>
                <w:snapToGrid w:val="0"/>
                <w:sz w:val="22"/>
                <w:szCs w:val="22"/>
              </w:rPr>
              <w:t xml:space="preserve"> dvaceti pracovních dnů od ukončení realizace projektu, resp.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etapy ukončena před schválením prvního Stanovení, je příjemce povinen předložit Zprávu o realizaci projektu a Žádost o platbu do dvaceti pracovních dnů</w:t>
            </w:r>
            <w:r>
              <w:rPr>
                <w:rFonts w:asciiTheme="minorHAnsi" w:hAnsiTheme="minorHAnsi"/>
                <w:snapToGrid w:val="0"/>
                <w:sz w:val="22"/>
                <w:szCs w:val="22"/>
              </w:rPr>
              <w:t xml:space="preserve"> od schválení prvního Stanovení.</w:t>
            </w:r>
          </w:p>
        </w:tc>
      </w:tr>
      <w:tr w:rsidR="00761356">
        <w:trPr>
          <w:trHeight w:val="700"/>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předkládá příjemce vždy do dvaceti pracovních dnů od ukončení realizace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 xml:space="preserve">Žádost </w:t>
            </w:r>
            <w:r>
              <w:rPr>
                <w:rFonts w:asciiTheme="minorHAnsi" w:hAnsiTheme="minorHAnsi"/>
                <w:b/>
                <w:snapToGrid w:val="0"/>
                <w:sz w:val="22"/>
                <w:szCs w:val="22"/>
              </w:rPr>
              <w:t>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 xml:space="preserve">V případě, že je realizace závěrečné etapy ukončena před schválením prvního Stanovení, je příjemce povinen předložit </w:t>
            </w:r>
            <w:r>
              <w:rPr>
                <w:rFonts w:asciiTheme="minorHAnsi" w:hAnsiTheme="minorHAnsi"/>
                <w:snapToGrid w:val="0"/>
                <w:sz w:val="22"/>
                <w:szCs w:val="22"/>
              </w:rPr>
              <w:t>Závěrečnou zprávu o realizaci projektu a Žádost o platbu do dvaceti pracovních dnů od schválení prvního Stanovení.</w:t>
            </w:r>
          </w:p>
        </w:tc>
      </w:tr>
      <w:tr w:rsidR="00761356">
        <w:trPr>
          <w:trHeight w:val="1492"/>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rsidR="00761356" w:rsidRDefault="00C94CFB">
            <w:pPr>
              <w:pStyle w:val="Odstavecseseznamem"/>
              <w:widowControl w:val="0"/>
              <w:numPr>
                <w:ilvl w:val="0"/>
                <w:numId w:val="7"/>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 let a to vždy do 10. pracovního dne po uplynutí dalšího roku od data zahájení doby udržitelnosti. </w:t>
            </w:r>
          </w:p>
          <w:p w:rsidR="00761356" w:rsidRDefault="00C94CFB">
            <w:pPr>
              <w:pStyle w:val="Odstavecseseznamem"/>
              <w:widowControl w:val="0"/>
              <w:numPr>
                <w:ilvl w:val="0"/>
                <w:numId w:val="7"/>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r>
      <w:tr w:rsidR="00761356">
        <w:trPr>
          <w:trHeight w:val="71"/>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 xml:space="preserve">6. </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nep</w:t>
            </w:r>
            <w:r>
              <w:rPr>
                <w:rFonts w:asciiTheme="minorHAnsi" w:hAnsiTheme="minorHAnsi"/>
                <w:snapToGrid w:val="0"/>
                <w:sz w:val="22"/>
                <w:szCs w:val="22"/>
              </w:rPr>
              <w:t xml:space="preserve">rodleně oznámit CRR všechny změny, které mají vliv na plnění Dopisu ministerstva pro místní rozvoj/ Stanovení výdajů prostřednictvím formuláře Žádost o změnu. </w:t>
            </w:r>
          </w:p>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w:t>
            </w:r>
            <w:r>
              <w:rPr>
                <w:rFonts w:asciiTheme="minorHAnsi" w:hAnsiTheme="minorHAnsi"/>
                <w:snapToGrid w:val="0"/>
                <w:sz w:val="22"/>
                <w:szCs w:val="22"/>
              </w:rPr>
              <w:t>né etapy,</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finan</w:t>
            </w:r>
            <w:r>
              <w:rPr>
                <w:rFonts w:asciiTheme="minorHAnsi" w:hAnsiTheme="minorHAnsi"/>
                <w:snapToGrid w:val="0"/>
                <w:sz w:val="22"/>
                <w:szCs w:val="22"/>
              </w:rPr>
              <w:t>čních objemů etap v souvislosti s přesunem aktivit projektu,</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peněžních prostředků plátcem DPH,</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zvýšení a snížení nezpůsobilých výdajů projektu – pokud se zvyšuje rozpočet pr</w:t>
            </w:r>
            <w:r>
              <w:rPr>
                <w:rFonts w:asciiTheme="minorHAnsi" w:hAnsiTheme="minorHAnsi"/>
                <w:snapToGrid w:val="0"/>
                <w:sz w:val="22"/>
                <w:szCs w:val="22"/>
              </w:rPr>
              <w:t>ojektu, musí zvýšení znovu projít schvalovacím procesem.</w:t>
            </w:r>
          </w:p>
        </w:tc>
      </w:tr>
      <w:tr w:rsidR="00761356">
        <w:trPr>
          <w:trHeight w:val="1323"/>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Žádost o změnu s žádostí o prodloužení termínu ukončení realizace projektu (závěrečné etapy) je příjemce povinen podat před uplynutím termínu uvedeného na </w:t>
            </w:r>
            <w:r>
              <w:rPr>
                <w:rFonts w:asciiTheme="minorHAnsi" w:hAnsiTheme="minorHAnsi"/>
                <w:snapToGrid w:val="0"/>
                <w:sz w:val="22"/>
                <w:szCs w:val="22"/>
              </w:rPr>
              <w:t>Dopise ministerstva pro místní rozvoj/Stanovení výdajů.</w:t>
            </w:r>
          </w:p>
        </w:tc>
      </w:tr>
      <w:tr w:rsidR="00761356">
        <w:trPr>
          <w:trHeight w:val="704"/>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7.</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r>
      <w:tr w:rsidR="00761356">
        <w:trPr>
          <w:trHeight w:val="97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8.</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uvedeném ve Stanovení. </w:t>
            </w:r>
          </w:p>
        </w:tc>
      </w:tr>
      <w:tr w:rsidR="00761356">
        <w:trPr>
          <w:trHeight w:val="70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9.</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z w:val="22"/>
                <w:szCs w:val="22"/>
              </w:rPr>
              <w:t xml:space="preserve">Příjemce je povinen v době </w:t>
            </w:r>
            <w:r>
              <w:rPr>
                <w:rFonts w:asciiTheme="minorHAnsi" w:hAnsiTheme="minorHAnsi"/>
                <w:sz w:val="22"/>
                <w:szCs w:val="22"/>
              </w:rPr>
              <w:t>udržitelnosti zachovat účel, na který mu byly peněžní prostředky poskytnuty.</w:t>
            </w:r>
          </w:p>
        </w:tc>
      </w:tr>
      <w:tr w:rsidR="00761356">
        <w:trPr>
          <w:trHeight w:val="70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10.</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tj. po schválení závěrečné ŽoP ve 2. stupni,</w:t>
            </w:r>
            <w:r>
              <w:rPr>
                <w:rFonts w:asciiTheme="minorHAnsi" w:hAnsiTheme="minorHAnsi"/>
                <w:snapToGrid w:val="0"/>
                <w:sz w:val="22"/>
                <w:szCs w:val="22"/>
              </w:rPr>
              <w:t xml:space="preserve"> pokud je to z hlediska charakteru projektu mo</w:t>
            </w:r>
            <w:r>
              <w:rPr>
                <w:rFonts w:asciiTheme="minorHAnsi" w:hAnsiTheme="minorHAnsi"/>
                <w:snapToGrid w:val="0"/>
                <w:sz w:val="22"/>
                <w:szCs w:val="22"/>
              </w:rPr>
              <w:t>žné.</w:t>
            </w:r>
          </w:p>
        </w:tc>
      </w:tr>
      <w:tr w:rsidR="00761356">
        <w:trPr>
          <w:trHeight w:val="72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11.</w:t>
            </w:r>
          </w:p>
        </w:tc>
        <w:tc>
          <w:tcPr>
            <w:tcW w:w="8195" w:type="dxa"/>
          </w:tcPr>
          <w:p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761356">
        <w:trPr>
          <w:trHeight w:val="720"/>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12.</w:t>
            </w:r>
          </w:p>
          <w:p w:rsidR="00761356" w:rsidRDefault="00761356">
            <w:pPr>
              <w:spacing w:after="120"/>
              <w:rPr>
                <w:rFonts w:asciiTheme="minorHAnsi" w:hAnsiTheme="minorHAnsi"/>
                <w:sz w:val="22"/>
                <w:szCs w:val="22"/>
              </w:rPr>
            </w:pPr>
          </w:p>
        </w:tc>
        <w:tc>
          <w:tcPr>
            <w:tcW w:w="8195" w:type="dxa"/>
          </w:tcPr>
          <w:p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Řídicího orgánu IROP (dále jen „ŘO IROP“): </w:t>
            </w:r>
          </w:p>
        </w:tc>
      </w:tr>
      <w:tr w:rsidR="00761356">
        <w:trPr>
          <w:trHeight w:val="720"/>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prodat, převést jinému subjektu, </w:t>
            </w:r>
          </w:p>
        </w:tc>
      </w:tr>
      <w:tr w:rsidR="00761356">
        <w:trPr>
          <w:trHeight w:val="1383"/>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zatížit jinými věcnými právy třetích osob (služebnosti/reálná břemena) nebo zřídit zástavní právo, s výjimkou zástavního práva k zajištění úvěru na financování projektu </w:t>
            </w:r>
            <w:r>
              <w:rPr>
                <w:rFonts w:asciiTheme="minorHAnsi" w:hAnsiTheme="minorHAnsi"/>
                <w:snapToGrid w:val="0"/>
                <w:sz w:val="22"/>
                <w:szCs w:val="22"/>
              </w:rPr>
              <w:t xml:space="preserve">rámcově identifikovaného v části </w:t>
            </w:r>
            <w:r>
              <w:rPr>
                <w:rFonts w:asciiTheme="minorHAnsi" w:hAnsiTheme="minorHAnsi"/>
                <w:snapToGrid w:val="0"/>
                <w:sz w:val="22"/>
                <w:szCs w:val="22"/>
              </w:rPr>
              <w:t>II, v bodu 1,</w:t>
            </w:r>
          </w:p>
          <w:p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761356">
        <w:trPr>
          <w:trHeight w:val="736"/>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vypůjčit nebo pronajmout jinému subjektu. Nejedná se o krátkodobý pronájem.</w:t>
            </w:r>
          </w:p>
        </w:tc>
      </w:tr>
      <w:tr w:rsidR="00761356">
        <w:trPr>
          <w:trHeight w:val="215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13.</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řádně uchovávat veškerou dokumentaci a účetní doklady, související s realizací projektu, minimálně do konce roku 2028. Pokud je v českých právních předpisech stanovena lhůta delší než v evropských předpisech, musí být použita pro ús</w:t>
            </w:r>
            <w:r>
              <w:rPr>
                <w:rFonts w:asciiTheme="minorHAnsi" w:hAnsiTheme="minorHAnsi"/>
                <w:snapToGrid w:val="0"/>
                <w:sz w:val="22"/>
                <w:szCs w:val="22"/>
              </w:rPr>
              <w:t xml:space="preserve">chovu delší lhůta. </w:t>
            </w:r>
          </w:p>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zajistí, aby veškerou dokumentaci a účetní doklady, související s realizací projektu, archivovali minimálně do konce roku 2028 partneři a dodavatelé příjemce a aby k této dokumentaci umožnili minimálně do konce roku 2028 přístu</w:t>
            </w:r>
            <w:r>
              <w:rPr>
                <w:rFonts w:asciiTheme="minorHAnsi" w:hAnsiTheme="minorHAnsi"/>
                <w:snapToGrid w:val="0"/>
                <w:sz w:val="22"/>
                <w:szCs w:val="22"/>
              </w:rPr>
              <w:t xml:space="preserve">p. </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14.</w:t>
            </w:r>
          </w:p>
        </w:tc>
        <w:tc>
          <w:tcPr>
            <w:tcW w:w="8195" w:type="dxa"/>
          </w:tcPr>
          <w:p w:rsidR="00761356" w:rsidRDefault="00C94CFB">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15.</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minimálně do konce roku 2028 poskytovat informace a dokumentaci vztahující se k projektu zaměstnancům nebo zmocněncům pověřených orgánů (CRR, Ministerstva pro místní rozvoj ČR, Ministerstva financí ČR, Evropské komise, Evropského účetní</w:t>
            </w:r>
            <w:r>
              <w:rPr>
                <w:rFonts w:asciiTheme="minorHAnsi" w:hAnsiTheme="minorHAnsi"/>
                <w:snapToGrid w:val="0"/>
                <w:sz w:val="22"/>
                <w:szCs w:val="22"/>
              </w:rPr>
              <w:t xml:space="preserve">ho dvora, Nejvyššího kontrolního úřadu, Auditního orgánu (dále jen „AO“), </w:t>
            </w:r>
            <w:r>
              <w:rPr>
                <w:rFonts w:asciiTheme="minorHAnsi" w:hAnsiTheme="minorHAnsi"/>
                <w:snapToGrid w:val="0"/>
                <w:sz w:val="22"/>
                <w:szCs w:val="22"/>
              </w:rPr>
              <w:lastRenderedPageBreak/>
              <w:t>Platebního a certifikačního orgánu (dále jen „PCO“), příslušného orgánu finanční správy a dalších oprávněných orgánů státní správy) a je povinen informovat poskytovatele dotace o sku</w:t>
            </w:r>
            <w:r>
              <w:rPr>
                <w:rFonts w:asciiTheme="minorHAnsi" w:hAnsiTheme="minorHAnsi"/>
                <w:snapToGrid w:val="0"/>
                <w:sz w:val="22"/>
                <w:szCs w:val="22"/>
              </w:rPr>
              <w:t>tečnostech majících vliv na realizaci projektu, především pak povinnost informovat o jakýchkoli kontrolách a auditech provedených v souvislosti s projektem; dále též povinnost na žádost poskytovatele finančních prostředků, ŘO IROP, PCO nebo AO poskytnout v</w:t>
            </w:r>
            <w:r>
              <w:rPr>
                <w:rFonts w:asciiTheme="minorHAnsi" w:hAnsiTheme="minorHAnsi"/>
                <w:snapToGrid w:val="0"/>
                <w:sz w:val="22"/>
                <w:szCs w:val="22"/>
              </w:rPr>
              <w:t xml:space="preserve">eškeré informace o výsledcích a kontrolní protokoly z těchto kontrol a auditů. A zároveň vytvořit podmínky k provedení kontroly a poskytnout při provádění kontroly součinnost. </w:t>
            </w:r>
          </w:p>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zajistit, aby stejné povinnosti do roku 2028 plnili partneř</w:t>
            </w:r>
            <w:r>
              <w:rPr>
                <w:rFonts w:asciiTheme="minorHAnsi" w:hAnsiTheme="minorHAnsi"/>
                <w:snapToGrid w:val="0"/>
                <w:sz w:val="22"/>
                <w:szCs w:val="22"/>
              </w:rPr>
              <w:t>i a dodavatelé, podílející se na realizaci projektu.</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lastRenderedPageBreak/>
              <w:t>16.</w:t>
            </w:r>
          </w:p>
        </w:tc>
        <w:tc>
          <w:tcPr>
            <w:tcW w:w="8195" w:type="dxa"/>
          </w:tcPr>
          <w:p w:rsidR="00761356" w:rsidRDefault="00C94CFB">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w:t>
            </w:r>
            <w:r>
              <w:rPr>
                <w:rFonts w:asciiTheme="minorHAnsi" w:hAnsiTheme="minorHAnsi"/>
                <w:sz w:val="22"/>
                <w:szCs w:val="22"/>
              </w:rPr>
              <w:t>ajů.</w:t>
            </w:r>
          </w:p>
          <w:p w:rsidR="00761356" w:rsidRDefault="00C94CFB">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Příjemce, který nevede účetnictví podle tohoto zákona, je povinen vést v případě poskytnutí peněžních prostředků ze SF daňovou evidenci podle zákona č. 586/1992 Sb., o daních z příjmů, ve znění pozdějších předpisů, rozšířenou o požadavky:</w:t>
            </w:r>
          </w:p>
          <w:p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předmětné doklady musí být správné, úplné, průkazné, srozumitelné </w:t>
            </w:r>
            <w:r>
              <w:rPr>
                <w:rFonts w:asciiTheme="minorHAnsi" w:hAnsiTheme="minorHAnsi"/>
                <w:snapToGrid w:val="0"/>
                <w:sz w:val="22"/>
                <w:szCs w:val="22"/>
              </w:rPr>
              <w:t>a průběžně chronologicky vedené způsobem zaručujícím jejich trvalost;</w:t>
            </w:r>
          </w:p>
          <w:p w:rsidR="00761356" w:rsidRDefault="00C94CFB">
            <w:pPr>
              <w:pStyle w:val="Odstavecseseznamem"/>
              <w:numPr>
                <w:ilvl w:val="0"/>
                <w:numId w:val="12"/>
              </w:numPr>
              <w:spacing w:after="120"/>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rsidR="00761356" w:rsidRDefault="00C94CFB">
            <w:pPr>
              <w:pStyle w:val="Odstavecseseznamem"/>
              <w:numPr>
                <w:ilvl w:val="0"/>
                <w:numId w:val="12"/>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k příslušnému projektu, ke </w:t>
            </w:r>
            <w:r>
              <w:rPr>
                <w:rFonts w:asciiTheme="minorHAnsi" w:hAnsiTheme="minorHAnsi"/>
                <w:snapToGrid w:val="0"/>
                <w:sz w:val="22"/>
                <w:szCs w:val="22"/>
              </w:rPr>
              <w:t>kterému se vážou.</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17.</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w:t>
            </w:r>
            <w:r>
              <w:rPr>
                <w:rFonts w:asciiTheme="minorHAnsi" w:hAnsiTheme="minorHAnsi"/>
                <w:snapToGrid w:val="0"/>
                <w:sz w:val="22"/>
                <w:szCs w:val="22"/>
              </w:rPr>
              <w:t>ch titulů, ani z jiných finančních mechanismů nebo nástrojů finančního inženýrství.</w:t>
            </w:r>
          </w:p>
        </w:tc>
      </w:tr>
      <w:tr w:rsidR="00761356">
        <w:trPr>
          <w:trHeight w:val="757"/>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18.</w:t>
            </w:r>
          </w:p>
        </w:tc>
        <w:tc>
          <w:tcPr>
            <w:tcW w:w="8195" w:type="dxa"/>
          </w:tcPr>
          <w:p w:rsidR="00761356" w:rsidRDefault="00C94CFB">
            <w:pPr>
              <w:spacing w:after="120"/>
              <w:jc w:val="both"/>
              <w:rPr>
                <w:rFonts w:asciiTheme="minorHAnsi" w:hAnsiTheme="minorHAnsi"/>
                <w:snapToGrid w:val="0"/>
                <w:sz w:val="22"/>
                <w:szCs w:val="22"/>
              </w:rPr>
            </w:pPr>
            <w:r>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w:t>
            </w:r>
            <w:r>
              <w:rPr>
                <w:rFonts w:asciiTheme="minorHAnsi" w:hAnsiTheme="minorHAnsi"/>
                <w:snapToGrid w:val="0"/>
                <w:sz w:val="22"/>
                <w:szCs w:val="22"/>
              </w:rPr>
              <w:t xml:space="preserve"> která jsou součástí Pravidel pro žadatele a příjemce v Operačním programu IROP: </w:t>
            </w:r>
          </w:p>
        </w:tc>
      </w:tr>
      <w:tr w:rsidR="00761356">
        <w:trPr>
          <w:trHeight w:val="457"/>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13"/>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tc>
      </w:tr>
    </w:tbl>
    <w:p w:rsidR="00761356" w:rsidRDefault="00C94CFB">
      <w:pPr>
        <w:keepNext/>
        <w:widowControl w:val="0"/>
        <w:spacing w:before="480" w:after="120"/>
        <w:jc w:val="center"/>
        <w:rPr>
          <w:rFonts w:asciiTheme="minorHAnsi" w:hAnsiTheme="minorHAnsi"/>
          <w:snapToGrid w:val="0"/>
        </w:rPr>
      </w:pPr>
      <w:r>
        <w:rPr>
          <w:rFonts w:asciiTheme="minorHAnsi" w:hAnsiTheme="minorHAnsi"/>
          <w:b/>
          <w:i/>
          <w:snapToGrid w:val="0"/>
        </w:rPr>
        <w:t>Část IV</w:t>
      </w:r>
    </w:p>
    <w:p w:rsidR="00761356" w:rsidRDefault="00C94CFB">
      <w:pPr>
        <w:keepNext/>
        <w:widowControl w:val="0"/>
        <w:spacing w:after="120"/>
        <w:ind w:left="142"/>
        <w:jc w:val="center"/>
        <w:rPr>
          <w:rFonts w:asciiTheme="minorHAnsi" w:hAnsiTheme="minorHAnsi"/>
          <w:b/>
          <w:i/>
          <w:snapToGrid w:val="0"/>
        </w:rPr>
      </w:pPr>
      <w:r>
        <w:rPr>
          <w:rFonts w:asciiTheme="minorHAnsi" w:hAnsiTheme="minorHAnsi"/>
          <w:b/>
          <w:i/>
          <w:snapToGrid w:val="0"/>
        </w:rPr>
        <w:t>Pozastavení nebo vrácení převedených prostředků</w:t>
      </w:r>
    </w:p>
    <w:p w:rsidR="00761356" w:rsidRDefault="00C94CFB">
      <w:pPr>
        <w:pStyle w:val="Zkladntext"/>
        <w:numPr>
          <w:ilvl w:val="0"/>
          <w:numId w:val="14"/>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Převod prostředků bude na nezbytně nutnou dobu pozastaven, pokud příjemce poruší ustanovení </w:t>
      </w:r>
      <w:r>
        <w:rPr>
          <w:rFonts w:asciiTheme="minorHAnsi" w:hAnsiTheme="minorHAnsi"/>
          <w:b w:val="0"/>
          <w:i w:val="0"/>
          <w:iCs w:val="0"/>
        </w:rPr>
        <w:t>Stanovení a Podmínek a bude zjištěno podezření na nesrovnalost ve smyslu nařízení Evropského parlamentu a Rady EU č. 1303/2013 nebo dojde k porušení rozpočtové kázně podle zákona č. 218/2000 Sb., o rozpočtových pravidlech, ve znění pozdějších předpisů.</w:t>
      </w:r>
    </w:p>
    <w:p w:rsidR="00761356" w:rsidRDefault="00C94CFB">
      <w:pPr>
        <w:pStyle w:val="Zkladntext"/>
        <w:numPr>
          <w:ilvl w:val="0"/>
          <w:numId w:val="14"/>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lastRenderedPageBreak/>
        <w:t xml:space="preserve">Jestliže bude po zahrnutí výdaje do souhrnné žádosti o platbu zjištěno porušení nebo nesplnění povinností vyplývajících ze Stanovení  a Podmínek, ŘO IROP vyzve příjemce k provedení opatření k nápravě nebo k vrácení převedených prostředků nebo jejich části </w:t>
      </w:r>
      <w:r>
        <w:rPr>
          <w:rFonts w:asciiTheme="minorHAnsi" w:hAnsiTheme="minorHAnsi"/>
          <w:b w:val="0"/>
          <w:i w:val="0"/>
          <w:iCs w:val="0"/>
        </w:rPr>
        <w:t xml:space="preserve">ve výši stanovené podle přílohy Specifických pravidel pro žadatele a příjemce - Krácení peněžních prostředků při porušení Podmínek Dopisu ministerstva pro místní rozvoj. </w:t>
      </w:r>
    </w:p>
    <w:p w:rsidR="00761356" w:rsidRDefault="00761356">
      <w:pPr>
        <w:widowControl w:val="0"/>
        <w:spacing w:after="120"/>
        <w:ind w:left="360" w:right="-2"/>
        <w:jc w:val="both"/>
        <w:rPr>
          <w:rFonts w:asciiTheme="minorHAnsi" w:hAnsiTheme="minorHAnsi"/>
          <w:snapToGrid w:val="0"/>
        </w:rPr>
      </w:pPr>
    </w:p>
    <w:p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Část V</w:t>
      </w:r>
    </w:p>
    <w:p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Veřejná podpora</w:t>
      </w:r>
    </w:p>
    <w:p w:rsidR="00761356" w:rsidRDefault="00C94CFB">
      <w:pPr>
        <w:pStyle w:val="Odstavecseseznamem"/>
        <w:numPr>
          <w:ilvl w:val="0"/>
          <w:numId w:val="1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 xml:space="preserve">Peněžní prostředky poskytnuté příjemci na realizaci projektu </w:t>
      </w:r>
      <w:r>
        <w:rPr>
          <w:rFonts w:asciiTheme="minorHAnsi" w:hAnsiTheme="minorHAnsi" w:cs="Calibri"/>
          <w:color w:val="000000"/>
        </w:rPr>
        <w:t>byly na základě údajů poskytnutých příjemcem vyhodnoceny jako opatření nezakládající veřejnou podporu podle čl. 107 odst. 1 Smlouvy o fungování EU, příjemce však bere na vědomí, že slučitelnost podpory se společným trhem posuzuje a závazně v této věci rozh</w:t>
      </w:r>
      <w:r>
        <w:rPr>
          <w:rFonts w:asciiTheme="minorHAnsi" w:hAnsiTheme="minorHAnsi" w:cs="Calibri"/>
          <w:color w:val="000000"/>
        </w:rPr>
        <w:t>oduje pouze Evropská komise. Příjemce peněžních prostředků současně bere na vědomí, že Evropská komise může uložit příjemci navrácení veřejné podpory spolu s příslušným úrokem zpět poskytovateli, pokud shledá, že poskytnuté peněžní prostředky představují z</w:t>
      </w:r>
      <w:r>
        <w:rPr>
          <w:rFonts w:asciiTheme="minorHAnsi" w:hAnsiTheme="minorHAnsi" w:cs="Calibri"/>
          <w:color w:val="000000"/>
        </w:rPr>
        <w:t xml:space="preserve">akázanou veřejnou podporu podle článku 107 odst. 1 Smlouvy o fungování EU. </w:t>
      </w:r>
    </w:p>
    <w:p w:rsidR="00761356" w:rsidRDefault="00761356">
      <w:pPr>
        <w:jc w:val="center"/>
        <w:rPr>
          <w:rFonts w:asciiTheme="minorHAnsi" w:hAnsiTheme="minorHAnsi"/>
          <w:snapToGrid w:val="0"/>
        </w:rPr>
      </w:pPr>
    </w:p>
    <w:p w:rsidR="00761356" w:rsidRDefault="00C94CFB">
      <w:pPr>
        <w:widowControl w:val="0"/>
        <w:tabs>
          <w:tab w:val="left" w:pos="708"/>
        </w:tabs>
        <w:spacing w:before="240" w:after="120"/>
        <w:jc w:val="center"/>
        <w:rPr>
          <w:rFonts w:asciiTheme="minorHAnsi" w:hAnsiTheme="minorHAnsi"/>
          <w:b/>
          <w:i/>
          <w:snapToGrid w:val="0"/>
        </w:rPr>
      </w:pPr>
      <w:r>
        <w:rPr>
          <w:rFonts w:asciiTheme="minorHAnsi" w:hAnsiTheme="minorHAnsi"/>
          <w:b/>
          <w:i/>
          <w:snapToGrid w:val="0"/>
        </w:rPr>
        <w:t>Část VI</w:t>
      </w:r>
    </w:p>
    <w:p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Stanovení s Podmínkami je</w:t>
      </w:r>
      <w:r>
        <w:rPr>
          <w:rFonts w:asciiTheme="minorHAnsi" w:hAnsiTheme="minorHAnsi"/>
          <w:i/>
          <w:snapToGrid w:val="0"/>
        </w:rPr>
        <w:t xml:space="preserve"> </w:t>
      </w:r>
      <w:r>
        <w:rPr>
          <w:rFonts w:asciiTheme="minorHAnsi" w:hAnsiTheme="minorHAnsi"/>
          <w:snapToGrid w:val="0"/>
        </w:rPr>
        <w:t>vyhotoveno v elektronické podobě, uložené v informačním systému MS2014+.</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 xml:space="preserve">Příjemce je povinen zaslat bezodkladně ŘO IROP </w:t>
      </w:r>
      <w:r>
        <w:rPr>
          <w:rFonts w:asciiTheme="minorHAnsi" w:hAnsiTheme="minorHAnsi"/>
          <w:snapToGrid w:val="0"/>
        </w:rPr>
        <w:t>Stanovení výdajů na financování akce organizační složky státu vydaného pro daný projekt, zařazený v programovém financování (dle vyhlášky č. 560/2006  Sb., o účasti státního rozpočtu na financování programů reprodukce majetku, v platném znění).</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Pro zajiště</w:t>
      </w:r>
      <w:r>
        <w:rPr>
          <w:rFonts w:asciiTheme="minorHAnsi" w:hAnsiTheme="minorHAnsi"/>
          <w:snapToGrid w:val="0"/>
        </w:rPr>
        <w:t xml:space="preserve">ní informovanosti o projektu dává příjemce souhlas s  uvedením v seznamu příjemců a se zveřejněním seznamu příjemců, názvu projektu a výše přidělených prostředků z veřejných zdrojů v příslušných informačních systémech. </w:t>
      </w:r>
    </w:p>
    <w:p w:rsidR="00761356" w:rsidRDefault="00C94CFB">
      <w:pPr>
        <w:widowControl w:val="0"/>
        <w:numPr>
          <w:ilvl w:val="0"/>
          <w:numId w:val="16"/>
        </w:numPr>
        <w:spacing w:after="120"/>
        <w:ind w:right="-2"/>
        <w:jc w:val="both"/>
        <w:rPr>
          <w:rFonts w:asciiTheme="minorHAnsi" w:hAnsiTheme="minorHAnsi"/>
          <w:snapToGrid w:val="0"/>
        </w:rPr>
      </w:pPr>
      <w:r>
        <w:rPr>
          <w:rFonts w:asciiTheme="minorHAnsi" w:hAnsiTheme="minorHAnsi"/>
          <w:snapToGrid w:val="0"/>
        </w:rPr>
        <w:t>Příjemce se řídí aktuální verzí Obec</w:t>
      </w:r>
      <w:r>
        <w:rPr>
          <w:rFonts w:asciiTheme="minorHAnsi" w:hAnsiTheme="minorHAnsi"/>
          <w:snapToGrid w:val="0"/>
        </w:rPr>
        <w:t>ných a Specifických pravidel pro žadatele a příjemce.</w:t>
      </w:r>
    </w:p>
    <w:sectPr w:rsidR="00761356">
      <w:footerReference w:type="default" r:id="rId33"/>
      <w:headerReference w:type="firs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94CFB">
      <w:r>
        <w:separator/>
      </w:r>
    </w:p>
  </w:endnote>
  <w:endnote w:type="continuationSeparator" w:id="0">
    <w:p w:rsidR="00000000" w:rsidRDefault="00C9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charset w:val="4D"/>
    <w:family w:val="auto"/>
    <w:pitch w:val="default"/>
    <w:sig w:usb0="00000000" w:usb1="00000000" w:usb2="00000000" w:usb3="00000000" w:csb0="00000001" w:csb1="00000000"/>
  </w:font>
  <w:font w:name="MS Mincho">
    <w:altName w:val="ＭＳ 明朝"/>
    <w:panose1 w:val="02020609040205080304"/>
    <w:charset w:val="80"/>
    <w:family w:val="roman"/>
    <w:pitch w:val="default"/>
    <w:sig w:usb0="00000000" w:usb1="00000000" w:usb2="00000010" w:usb3="00000000" w:csb0="00020000" w:csb1="00000000"/>
  </w:font>
  <w:font w:name="MyriadPro-Black">
    <w:altName w:val="Times New Roman"/>
    <w:charset w:val="4D"/>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56" w:rsidRDefault="00C94CFB">
    <w:pPr>
      <w:pStyle w:val="Zpat"/>
      <w:rPr>
        <w:rFonts w:asciiTheme="minorHAnsi" w:hAnsiTheme="minorHAnsi"/>
      </w:rPr>
    </w:pPr>
    <w:r>
      <w:rPr>
        <w:rFonts w:asciiTheme="minorHAnsi" w:hAnsiTheme="minorHAnsi"/>
        <w:snapToGrid w:val="0"/>
        <w:sz w:val="20"/>
      </w:rPr>
      <w:t xml:space="preserve">Registrační číslo projektu: </w:t>
    </w:r>
    <w:r>
      <w:rPr>
        <w:rFonts w:asciiTheme="minorHAnsi" w:hAnsiTheme="minorHAnsi" w:cs="Arial"/>
        <w:color w:val="000080"/>
        <w:sz w:val="20"/>
      </w:rPr>
      <w:t>xxxxx/x.x.xx/xx.xxxxx</w:t>
    </w:r>
    <w:r>
      <w:rPr>
        <w:rFonts w:asciiTheme="minorHAnsi" w:hAnsiTheme="minorHAnsi"/>
      </w:rPr>
      <w:tab/>
    </w:r>
    <w:r>
      <w:rPr>
        <w:rFonts w:asciiTheme="minorHAnsi" w:hAnsiTheme="minorHAnsi"/>
      </w:rPr>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Pr>
        <w:rFonts w:asciiTheme="minorHAnsi" w:hAnsiTheme="minorHAnsi"/>
        <w:noProof/>
        <w:snapToGrid w:val="0"/>
      </w:rPr>
      <w:t>7</w:t>
    </w:r>
    <w:r>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4A0" w:firstRow="1" w:lastRow="0" w:firstColumn="1" w:lastColumn="0" w:noHBand="0" w:noVBand="1"/>
    </w:tblPr>
    <w:tblGrid>
      <w:gridCol w:w="2605"/>
      <w:gridCol w:w="726"/>
      <w:gridCol w:w="1984"/>
      <w:gridCol w:w="1925"/>
      <w:gridCol w:w="1919"/>
    </w:tblGrid>
    <w:tr w:rsidR="0076135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356" w:rsidRDefault="00761356">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356" w:rsidRDefault="00C94CFB">
          <w:pPr>
            <w:tabs>
              <w:tab w:val="center" w:pos="4536"/>
              <w:tab w:val="right" w:pos="9072"/>
            </w:tabs>
            <w:jc w:val="right"/>
            <w:rPr>
              <w:rFonts w:ascii="Arial" w:hAnsi="Arial" w:cs="Arial"/>
              <w:sz w:val="20"/>
            </w:rPr>
          </w:pPr>
          <w:r>
            <w:rPr>
              <w:rFonts w:ascii="Arial" w:hAnsi="Arial" w:cs="Arial"/>
              <w:sz w:val="20"/>
            </w:rPr>
            <w:t xml:space="preserve">Strana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Pr>
              <w:rFonts w:ascii="Arial" w:hAnsi="Arial" w:cs="Arial"/>
              <w:noProof/>
              <w:sz w:val="20"/>
            </w:rPr>
            <w:t>1</w:t>
          </w:r>
          <w:r>
            <w:rPr>
              <w:rFonts w:ascii="Arial" w:hAnsi="Arial" w:cs="Arial"/>
              <w:sz w:val="20"/>
            </w:rPr>
            <w:fldChar w:fldCharType="end"/>
          </w:r>
          <w:r>
            <w:rPr>
              <w:rFonts w:ascii="Arial" w:hAnsi="Arial" w:cs="Arial"/>
              <w:sz w:val="20"/>
            </w:rPr>
            <w:t xml:space="preserve"> z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Pr>
              <w:rFonts w:ascii="Arial" w:hAnsi="Arial" w:cs="Arial"/>
              <w:noProof/>
              <w:sz w:val="20"/>
            </w:rPr>
            <w:t>7</w:t>
          </w:r>
          <w:r>
            <w:rPr>
              <w:rFonts w:ascii="Arial" w:hAnsi="Arial" w:cs="Arial"/>
              <w:sz w:val="20"/>
            </w:rPr>
            <w:fldChar w:fldCharType="end"/>
          </w:r>
        </w:p>
      </w:tc>
    </w:tr>
  </w:tbl>
  <w:p w:rsidR="00761356" w:rsidRDefault="007613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356" w:rsidRDefault="00C94CFB">
      <w:r>
        <w:separator/>
      </w:r>
    </w:p>
  </w:footnote>
  <w:footnote w:type="continuationSeparator" w:id="0">
    <w:p w:rsidR="00761356" w:rsidRDefault="00C94CFB">
      <w:r>
        <w:continuationSeparator/>
      </w:r>
    </w:p>
  </w:footnote>
  <w:footnote w:id="1">
    <w:p w:rsidR="00761356" w:rsidRDefault="00C94CFB">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2">
    <w:p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3">
    <w:p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56" w:rsidRDefault="00C94CFB">
    <w:pPr>
      <w:pStyle w:val="Zhlav"/>
    </w:pPr>
    <w:r>
      <w:rPr>
        <w:noProof/>
      </w:rPr>
      <w:drawing>
        <wp:inline distT="0" distB="0" distL="0" distR="0">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FF068C5"/>
    <w:multiLevelType w:val="multilevel"/>
    <w:tmpl w:val="1FF068C5"/>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412567"/>
    <w:multiLevelType w:val="multilevel"/>
    <w:tmpl w:val="39412567"/>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8830B63"/>
    <w:multiLevelType w:val="multilevel"/>
    <w:tmpl w:val="48830B6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57D01165"/>
    <w:multiLevelType w:val="multilevel"/>
    <w:tmpl w:val="57D0116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5733930"/>
    <w:multiLevelType w:val="multilevel"/>
    <w:tmpl w:val="65733930"/>
    <w:lvl w:ilvl="0">
      <w:start w:val="1"/>
      <w:numFmt w:val="decimal"/>
      <w:lvlText w:val="%1."/>
      <w:lvlJc w:val="left"/>
      <w:pPr>
        <w:tabs>
          <w:tab w:val="left" w:pos="357"/>
        </w:tabs>
        <w:ind w:left="357" w:hanging="35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4"/>
  </w:num>
  <w:num w:numId="3">
    <w:abstractNumId w:val="4"/>
  </w:num>
  <w:num w:numId="4">
    <w:abstractNumId w:val="9"/>
  </w:num>
  <w:num w:numId="5">
    <w:abstractNumId w:val="7"/>
  </w:num>
  <w:num w:numId="6">
    <w:abstractNumId w:val="6"/>
  </w:num>
  <w:num w:numId="7">
    <w:abstractNumId w:val="8"/>
  </w:num>
  <w:num w:numId="8">
    <w:abstractNumId w:val="3"/>
  </w:num>
  <w:num w:numId="9">
    <w:abstractNumId w:val="13"/>
  </w:num>
  <w:num w:numId="10">
    <w:abstractNumId w:val="0"/>
  </w:num>
  <w:num w:numId="11">
    <w:abstractNumId w:val="1"/>
  </w:num>
  <w:num w:numId="12">
    <w:abstractNumId w:val="2"/>
  </w:num>
  <w:num w:numId="13">
    <w:abstractNumId w:val="5"/>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86"/>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1356"/>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CF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662A2AAC"/>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D54724"/>
  <w15:docId w15:val="{BE9E5317-1204-47A8-9EC1-96F2913E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pPr>
      <w:spacing w:before="100" w:beforeAutospacing="1" w:after="100" w:afterAutospacing="1"/>
    </w:pPr>
  </w:style>
  <w:style w:type="paragraph" w:styleId="Prosttext">
    <w:name w:val="Plain Text"/>
    <w:basedOn w:val="Normln"/>
    <w:link w:val="ProsttextChar"/>
    <w:uiPriority w:val="99"/>
    <w:semiHidden/>
    <w:unhideWhenUsed/>
    <w:rPr>
      <w:rFonts w:ascii="Arial" w:eastAsiaTheme="minorHAnsi" w:hAnsi="Arial" w:cstheme="minorBidi"/>
      <w:sz w:val="20"/>
      <w:szCs w:val="21"/>
      <w:lang w:eastAsia="en-US"/>
    </w:rPr>
  </w:style>
  <w:style w:type="table" w:styleId="Mkatabulky">
    <w:name w:val="Table Grid"/>
    <w:basedOn w:val="Normlntabul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semiHidden/>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Pr>
      <w:shd w:val="clear" w:color="auto" w:fill="auto"/>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style>
  <w:style w:type="character" w:customStyle="1" w:styleId="TextpoznpodarouChar">
    <w:name w:val="Text pozn. pod čarou Char"/>
    <w:basedOn w:val="Standardnpsmoodstavce"/>
    <w:link w:val="Textpoznpodarou"/>
    <w:semiHidden/>
  </w:style>
  <w:style w:type="character" w:customStyle="1" w:styleId="OdstavecseseznamemChar">
    <w:name w:val="Odstavec se seznamem Char"/>
    <w:link w:val="Odstavecseseznamem"/>
    <w:uiPriority w:val="34"/>
    <w:rPr>
      <w:sz w:val="24"/>
      <w:szCs w:val="24"/>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Pr>
      <w:rFonts w:ascii="Arial"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6C952-6419-4315-8708-E79463C6D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7ACBE0CA-DA49-490E-AB2A-E263296886E7}">
  <ds:schemaRefs/>
</ds:datastoreItem>
</file>

<file path=customXml/itemProps11.xml><?xml version="1.0" encoding="utf-8"?>
<ds:datastoreItem xmlns:ds="http://schemas.openxmlformats.org/officeDocument/2006/customXml" ds:itemID="{69F7507C-807D-4BBB-AF79-8A01F64CA3C9}">
  <ds:schemaRefs/>
</ds:datastoreItem>
</file>

<file path=customXml/itemProps12.xml><?xml version="1.0" encoding="utf-8"?>
<ds:datastoreItem xmlns:ds="http://schemas.openxmlformats.org/officeDocument/2006/customXml" ds:itemID="{452C8F27-C6CC-4E2D-9AB7-8FFE7929DFEE}">
  <ds:schemaRefs/>
</ds:datastoreItem>
</file>

<file path=customXml/itemProps13.xml><?xml version="1.0" encoding="utf-8"?>
<ds:datastoreItem xmlns:ds="http://schemas.openxmlformats.org/officeDocument/2006/customXml" ds:itemID="{6F28177B-AABE-45A9-9C61-0D3A5F2ACBBF}">
  <ds:schemaRefs/>
</ds:datastoreItem>
</file>

<file path=customXml/itemProps14.xml><?xml version="1.0" encoding="utf-8"?>
<ds:datastoreItem xmlns:ds="http://schemas.openxmlformats.org/officeDocument/2006/customXml" ds:itemID="{158AE9C1-B12A-4D6F-AEB3-DD8AFD252B81}">
  <ds:schemaRefs/>
</ds:datastoreItem>
</file>

<file path=customXml/itemProps15.xml><?xml version="1.0" encoding="utf-8"?>
<ds:datastoreItem xmlns:ds="http://schemas.openxmlformats.org/officeDocument/2006/customXml" ds:itemID="{223910C4-3294-4F4A-A9E4-2FF7F3CC387C}">
  <ds:schemaRefs/>
</ds:datastoreItem>
</file>

<file path=customXml/itemProps16.xml><?xml version="1.0" encoding="utf-8"?>
<ds:datastoreItem xmlns:ds="http://schemas.openxmlformats.org/officeDocument/2006/customXml" ds:itemID="{EAAFD50B-243B-4C11-9FCC-6660D3843637}">
  <ds:schemaRefs/>
</ds:datastoreItem>
</file>

<file path=customXml/itemProps17.xml><?xml version="1.0" encoding="utf-8"?>
<ds:datastoreItem xmlns:ds="http://schemas.openxmlformats.org/officeDocument/2006/customXml" ds:itemID="{BE750EF0-1381-40F4-9535-A04034AEF45B}">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ECA6BDF8-84E0-430F-9CA4-7905DEF0032D}">
  <ds:schemaRefs/>
</ds:datastoreItem>
</file>

<file path=customXml/itemProps19.xml><?xml version="1.0" encoding="utf-8"?>
<ds:datastoreItem xmlns:ds="http://schemas.openxmlformats.org/officeDocument/2006/customXml" ds:itemID="{DF6593F9-FDC0-488C-99B4-A96F767218E1}">
  <ds:schemaRefs/>
</ds:datastoreItem>
</file>

<file path=customXml/itemProps2.xml><?xml version="1.0" encoding="utf-8"?>
<ds:datastoreItem xmlns:ds="http://schemas.openxmlformats.org/officeDocument/2006/customXml" ds:itemID="{24B4877D-7229-4455-A12C-05A3E342CCA4}">
  <ds:schemaRefs/>
</ds:datastoreItem>
</file>

<file path=customXml/itemProps20.xml><?xml version="1.0" encoding="utf-8"?>
<ds:datastoreItem xmlns:ds="http://schemas.openxmlformats.org/officeDocument/2006/customXml" ds:itemID="{DD589687-0E49-4F19-A4CA-B80D9732487D}">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BBC6AB44-355B-462D-A6C7-3EA2384DABE4}">
  <ds:schemaRefs/>
</ds:datastoreItem>
</file>

<file path=customXml/itemProps23.xml><?xml version="1.0" encoding="utf-8"?>
<ds:datastoreItem xmlns:ds="http://schemas.openxmlformats.org/officeDocument/2006/customXml" ds:itemID="{AA459514-1C31-4C12-B369-A38B018ED701}">
  <ds:schemaRefs>
    <ds:schemaRef ds:uri="http://schemas.microsoft.com/sharepoint/v3/contenttype/forms"/>
  </ds:schemaRefs>
</ds:datastoreItem>
</file>

<file path=customXml/itemProps24.xml><?xml version="1.0" encoding="utf-8"?>
<ds:datastoreItem xmlns:ds="http://schemas.openxmlformats.org/officeDocument/2006/customXml" ds:itemID="{FC50A64E-C902-41CB-ADCA-9C722BE7858B}">
  <ds:schemaRefs/>
</ds:datastoreItem>
</file>

<file path=customXml/itemProps25.xml><?xml version="1.0" encoding="utf-8"?>
<ds:datastoreItem xmlns:ds="http://schemas.openxmlformats.org/officeDocument/2006/customXml" ds:itemID="{572C9F87-1369-449D-BF93-631DB55F9981}">
  <ds:schemaRefs>
    <ds:schemaRef ds:uri="http://schemas.openxmlformats.org/officeDocument/2006/bibliography"/>
  </ds:schemaRefs>
</ds:datastoreItem>
</file>

<file path=customXml/itemProps26.xml><?xml version="1.0" encoding="utf-8"?>
<ds:datastoreItem xmlns:ds="http://schemas.openxmlformats.org/officeDocument/2006/customXml" ds:itemID="{F7F834CE-9E7D-42A2-9B8D-DD56BCCF34BE}">
  <ds:schemaRefs>
    <ds:schemaRef ds:uri="http://schemas.openxmlformats.org/officeDocument/2006/bibliography"/>
  </ds:schemaRefs>
</ds:datastoreItem>
</file>

<file path=customXml/itemProps3.xml><?xml version="1.0" encoding="utf-8"?>
<ds:datastoreItem xmlns:ds="http://schemas.openxmlformats.org/officeDocument/2006/customXml" ds:itemID="{D3B198EB-3992-4DAA-900A-45D235E8033B}">
  <ds:schemaRefs/>
</ds:datastoreItem>
</file>

<file path=customXml/itemProps4.xml><?xml version="1.0" encoding="utf-8"?>
<ds:datastoreItem xmlns:ds="http://schemas.openxmlformats.org/officeDocument/2006/customXml" ds:itemID="{08E64863-DE58-4468-9E84-4713104F9363}">
  <ds:schemaRefs/>
</ds:datastoreItem>
</file>

<file path=customXml/itemProps5.xml><?xml version="1.0" encoding="utf-8"?>
<ds:datastoreItem xmlns:ds="http://schemas.openxmlformats.org/officeDocument/2006/customXml" ds:itemID="{7AC3E91E-886F-4FCB-A40B-1404E0D39DF4}">
  <ds:schemaRefs/>
</ds:datastoreItem>
</file>

<file path=customXml/itemProps6.xml><?xml version="1.0" encoding="utf-8"?>
<ds:datastoreItem xmlns:ds="http://schemas.openxmlformats.org/officeDocument/2006/customXml" ds:itemID="{A3758049-7052-41C5-9EB1-6CB36838D4B8}">
  <ds:schemaRefs/>
</ds:datastoreItem>
</file>

<file path=customXml/itemProps7.xml><?xml version="1.0" encoding="utf-8"?>
<ds:datastoreItem xmlns:ds="http://schemas.openxmlformats.org/officeDocument/2006/customXml" ds:itemID="{0F1BFA29-900B-48AF-9F9A-4DDB3C5D78CD}">
  <ds:schemaRefs/>
</ds:datastoreItem>
</file>

<file path=customXml/itemProps8.xml><?xml version="1.0" encoding="utf-8"?>
<ds:datastoreItem xmlns:ds="http://schemas.openxmlformats.org/officeDocument/2006/customXml" ds:itemID="{EE0EE3A2-07BC-4873-B4F3-594FAECC4B03}">
  <ds:schemaRefs/>
</ds:datastoreItem>
</file>

<file path=customXml/itemProps9.xml><?xml version="1.0" encoding="utf-8"?>
<ds:datastoreItem xmlns:ds="http://schemas.openxmlformats.org/officeDocument/2006/customXml" ds:itemID="{07CED0C9-29F1-4952-AA03-A3BA53FDEAA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1886</Words>
  <Characters>11131</Characters>
  <Application>Microsoft Office Word</Application>
  <DocSecurity>0</DocSecurity>
  <Lines>92</Lines>
  <Paragraphs>25</Paragraphs>
  <ScaleCrop>false</ScaleCrop>
  <Company>MMR</Company>
  <LinksUpToDate>false</LinksUpToDate>
  <CharactersWithSpaces>12992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Mazanik Jan</cp:lastModifiedBy>
  <cp:revision>21</cp:revision>
  <cp:lastPrinted>2014-05-14T09:54:00Z</cp:lastPrinted>
  <dcterms:created xsi:type="dcterms:W3CDTF">2016-10-05T09:26:00Z</dcterms:created>
  <dcterms:modified xsi:type="dcterms:W3CDTF">2021-04-21T07:35:00Z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